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C5" w:rsidRPr="00337EFE" w:rsidRDefault="008F51CA" w:rsidP="00304F10">
      <w:pPr>
        <w:spacing w:after="180"/>
        <w:jc w:val="center"/>
        <w:rPr>
          <w:rFonts w:ascii="Perpetua" w:hAnsi="Perpetua"/>
          <w:b/>
          <w:sz w:val="22"/>
          <w:szCs w:val="22"/>
          <w:lang w:val="es-ES_tradnl"/>
        </w:rPr>
      </w:pPr>
      <w:r w:rsidRPr="00337EFE">
        <w:rPr>
          <w:rFonts w:ascii="Perpetua" w:hAnsi="Perpetua"/>
          <w:b/>
          <w:sz w:val="22"/>
          <w:szCs w:val="22"/>
          <w:lang w:val="es-ES_tradnl"/>
        </w:rPr>
        <w:t>DECRETO DE ALCALDÍA</w:t>
      </w:r>
    </w:p>
    <w:p w:rsidR="00485A30" w:rsidRPr="00337EFE" w:rsidRDefault="008F51CA" w:rsidP="00E5642B">
      <w:pPr>
        <w:rPr>
          <w:rFonts w:ascii="Perpetua" w:hAnsi="Perpetua" w:cs="Arial"/>
          <w:sz w:val="22"/>
          <w:szCs w:val="22"/>
          <w:lang w:val="es-ES_tradnl"/>
        </w:rPr>
      </w:pPr>
    </w:p>
    <w:p w:rsidR="006C645A" w:rsidRDefault="008F51CA" w:rsidP="006C645A">
      <w:pPr>
        <w:pStyle w:val="Normal0"/>
        <w:rPr>
          <w:rFonts w:ascii="Perpetua" w:eastAsia="SimSun" w:hAnsi="Perpetua"/>
          <w:b/>
          <w:sz w:val="22"/>
          <w:szCs w:val="22"/>
          <w:lang w:val="es-ES_tradnl" w:eastAsia="zh-CN"/>
        </w:rPr>
      </w:pPr>
      <w:bookmarkStart w:id="0" w:name="BLO__BDT_0"/>
      <w:r>
        <w:rPr>
          <w:rFonts w:ascii="Perpetua" w:eastAsia="SimSun" w:hAnsi="Perpetua"/>
          <w:b/>
          <w:sz w:val="22"/>
          <w:szCs w:val="22"/>
          <w:lang w:val="es-ES_tradnl" w:eastAsia="zh-CN"/>
        </w:rPr>
        <w:t>EXPEDIENTE: Patrimonio y Montes 32/2018</w:t>
      </w:r>
    </w:p>
    <w:p w:rsidR="006C645A" w:rsidRDefault="008F51CA" w:rsidP="006C645A">
      <w:pPr>
        <w:pStyle w:val="Normal0"/>
        <w:jc w:val="both"/>
        <w:rPr>
          <w:rFonts w:ascii="Perpetua" w:eastAsia="SimSun" w:hAnsi="Perpetua"/>
          <w:b/>
          <w:sz w:val="22"/>
          <w:szCs w:val="22"/>
          <w:lang w:val="es-ES_tradnl" w:eastAsia="zh-CN"/>
        </w:rPr>
      </w:pPr>
      <w:r>
        <w:rPr>
          <w:rFonts w:ascii="Perpetua" w:eastAsia="SimSun" w:hAnsi="Perpetua"/>
          <w:b/>
          <w:sz w:val="22"/>
          <w:szCs w:val="22"/>
          <w:lang w:val="es-ES_tradnl" w:eastAsia="zh-CN"/>
        </w:rPr>
        <w:t>ASUNTO: ADJUDICACION DOS QUIOSCOS PARA LA VENTA DE CHUCHERIAS.</w:t>
      </w:r>
    </w:p>
    <w:p w:rsidR="006C645A" w:rsidRDefault="008F51CA" w:rsidP="006C645A">
      <w:pPr>
        <w:pStyle w:val="Normal0"/>
        <w:rPr>
          <w:rFonts w:ascii="Perpetua" w:eastAsia="SimSun" w:hAnsi="Perpetua"/>
          <w:b/>
          <w:sz w:val="22"/>
          <w:szCs w:val="22"/>
          <w:u w:val="single"/>
          <w:lang w:val="es-ES_tradnl" w:eastAsia="zh-CN"/>
        </w:rPr>
      </w:pPr>
    </w:p>
    <w:p w:rsidR="006C645A" w:rsidRDefault="008F51CA" w:rsidP="006C645A">
      <w:pPr>
        <w:pStyle w:val="Normal0"/>
        <w:rPr>
          <w:rFonts w:ascii="Perpetua" w:eastAsia="SimSun" w:hAnsi="Perpetua"/>
          <w:b/>
          <w:sz w:val="22"/>
          <w:szCs w:val="22"/>
          <w:lang w:val="es-ES_tradnl" w:eastAsia="zh-CN"/>
        </w:rPr>
      </w:pPr>
      <w:r>
        <w:rPr>
          <w:rFonts w:ascii="Perpetua" w:eastAsia="SimSun" w:hAnsi="Perpetua"/>
          <w:b/>
          <w:sz w:val="22"/>
          <w:szCs w:val="22"/>
          <w:lang w:val="es-ES_tradnl" w:eastAsia="zh-CN"/>
        </w:rPr>
        <w:t>ANTECEDENTES.-</w:t>
      </w:r>
    </w:p>
    <w:p w:rsidR="006C645A" w:rsidRDefault="008F51CA" w:rsidP="006C645A">
      <w:pPr>
        <w:pStyle w:val="Normal0"/>
        <w:rPr>
          <w:rFonts w:ascii="Perpetua" w:eastAsia="SimSun" w:hAnsi="Perpetua"/>
          <w:b/>
          <w:sz w:val="22"/>
          <w:szCs w:val="22"/>
          <w:lang w:val="es-ES_tradnl" w:eastAsia="zh-CN"/>
        </w:rPr>
      </w:pPr>
    </w:p>
    <w:p w:rsidR="006C645A" w:rsidRDefault="008F51CA" w:rsidP="006C645A">
      <w:pPr>
        <w:pStyle w:val="Normal0"/>
        <w:jc w:val="both"/>
        <w:rPr>
          <w:rFonts w:ascii="Perpetua" w:eastAsia="SimSun" w:hAnsi="Perpetua"/>
          <w:sz w:val="22"/>
          <w:szCs w:val="22"/>
          <w:lang w:val="es-ES_tradnl" w:eastAsia="zh-CN"/>
        </w:rPr>
      </w:pPr>
      <w:r>
        <w:rPr>
          <w:rFonts w:ascii="Perpetua" w:eastAsia="SimSun" w:hAnsi="Perpetua"/>
          <w:b/>
          <w:sz w:val="22"/>
          <w:szCs w:val="22"/>
          <w:lang w:val="es-ES_tradnl" w:eastAsia="zh-CN"/>
        </w:rPr>
        <w:t>PRIMERO.-</w:t>
      </w:r>
      <w:r>
        <w:rPr>
          <w:rFonts w:ascii="Perpetua" w:eastAsia="SimSun" w:hAnsi="Perpetua"/>
          <w:sz w:val="22"/>
          <w:szCs w:val="22"/>
          <w:lang w:val="es-ES_tradnl" w:eastAsia="zh-CN"/>
        </w:rPr>
        <w:t xml:space="preserve"> Por Decreto de la Alcaldía de fecha 15 de Mayo de 2018, se aprobó el Pliego de Condiciones económico-administrativas para regular la concesión de dos quioscos para la venta de chucherías en C/. Colón y C/. Sancho IV el Bravo.</w:t>
      </w:r>
    </w:p>
    <w:p w:rsidR="006C645A" w:rsidRDefault="008F51CA" w:rsidP="006C645A">
      <w:pPr>
        <w:pStyle w:val="Normal0"/>
        <w:jc w:val="both"/>
        <w:rPr>
          <w:rFonts w:ascii="Perpetua" w:eastAsia="SimSun" w:hAnsi="Perpetua"/>
          <w:sz w:val="22"/>
          <w:szCs w:val="22"/>
          <w:lang w:val="es-ES_tradnl" w:eastAsia="zh-CN"/>
        </w:rPr>
      </w:pPr>
      <w:r>
        <w:rPr>
          <w:rFonts w:ascii="Perpetua" w:eastAsia="SimSun" w:hAnsi="Perpetua"/>
          <w:b/>
          <w:sz w:val="22"/>
          <w:szCs w:val="22"/>
          <w:lang w:val="es-ES_tradnl" w:eastAsia="zh-CN"/>
        </w:rPr>
        <w:t>SEGUNDO.-</w:t>
      </w:r>
      <w:r>
        <w:rPr>
          <w:rFonts w:ascii="Perpetua" w:eastAsia="SimSun" w:hAnsi="Perpetua"/>
          <w:sz w:val="22"/>
          <w:szCs w:val="22"/>
          <w:lang w:val="es-ES_tradnl" w:eastAsia="zh-CN"/>
        </w:rPr>
        <w:t xml:space="preserve"> Con fecha 18/06/201</w:t>
      </w:r>
      <w:r>
        <w:rPr>
          <w:rFonts w:ascii="Perpetua" w:eastAsia="SimSun" w:hAnsi="Perpetua"/>
          <w:sz w:val="22"/>
          <w:szCs w:val="22"/>
          <w:lang w:val="es-ES_tradnl" w:eastAsia="zh-CN"/>
        </w:rPr>
        <w:t>8, se publica edicto en el BOP de Cádiz núm. 115, sobre licitación quioscos de chucherías y apertura plazo para presentación de solicitudes.</w:t>
      </w:r>
    </w:p>
    <w:p w:rsidR="006C645A" w:rsidRDefault="008F51CA" w:rsidP="006C645A">
      <w:pPr>
        <w:pStyle w:val="Normal0"/>
        <w:jc w:val="both"/>
        <w:rPr>
          <w:rFonts w:ascii="Perpetua" w:eastAsia="SimSun" w:hAnsi="Perpetua"/>
          <w:sz w:val="22"/>
          <w:szCs w:val="22"/>
          <w:lang w:val="es-ES_tradnl" w:eastAsia="zh-CN"/>
        </w:rPr>
      </w:pPr>
      <w:r>
        <w:rPr>
          <w:rFonts w:ascii="Perpetua" w:eastAsia="SimSun" w:hAnsi="Perpetua"/>
          <w:b/>
          <w:sz w:val="22"/>
          <w:szCs w:val="22"/>
          <w:lang w:val="es-ES_tradnl" w:eastAsia="zh-CN"/>
        </w:rPr>
        <w:t>TERCERO.-</w:t>
      </w:r>
      <w:r>
        <w:rPr>
          <w:rFonts w:ascii="Perpetua" w:eastAsia="SimSun" w:hAnsi="Perpetua"/>
          <w:sz w:val="22"/>
          <w:szCs w:val="22"/>
          <w:lang w:val="es-ES_tradnl" w:eastAsia="zh-CN"/>
        </w:rPr>
        <w:t xml:space="preserve"> Se incorpora al expediente los siguientes documentos:</w:t>
      </w:r>
    </w:p>
    <w:p w:rsidR="006C645A" w:rsidRDefault="008F51CA" w:rsidP="006C645A">
      <w:pPr>
        <w:pStyle w:val="Normal0"/>
        <w:numPr>
          <w:ilvl w:val="0"/>
          <w:numId w:val="1"/>
        </w:numPr>
        <w:contextualSpacing/>
        <w:jc w:val="both"/>
        <w:rPr>
          <w:rFonts w:ascii="Perpetua" w:eastAsia="Calibri" w:hAnsi="Perpetua"/>
          <w:sz w:val="22"/>
          <w:szCs w:val="22"/>
          <w:lang w:val="es-ES_tradnl" w:eastAsia="zh-CN"/>
        </w:rPr>
      </w:pPr>
      <w:r>
        <w:rPr>
          <w:rFonts w:ascii="Perpetua" w:eastAsia="Calibri" w:hAnsi="Perpetua"/>
          <w:sz w:val="22"/>
          <w:szCs w:val="22"/>
          <w:lang w:val="es-ES_tradnl" w:eastAsia="zh-CN"/>
        </w:rPr>
        <w:t>Con fecha 06/04/2018, propuesta Área Patrimonio par</w:t>
      </w:r>
      <w:r>
        <w:rPr>
          <w:rFonts w:ascii="Perpetua" w:eastAsia="Calibri" w:hAnsi="Perpetua"/>
          <w:sz w:val="22"/>
          <w:szCs w:val="22"/>
          <w:lang w:val="es-ES_tradnl" w:eastAsia="zh-CN"/>
        </w:rPr>
        <w:t>a adjudicación de quioscos de chucherías.</w:t>
      </w:r>
    </w:p>
    <w:p w:rsidR="006C645A" w:rsidRDefault="008F51CA" w:rsidP="006C645A">
      <w:pPr>
        <w:pStyle w:val="Normal0"/>
        <w:numPr>
          <w:ilvl w:val="0"/>
          <w:numId w:val="1"/>
        </w:numPr>
        <w:contextualSpacing/>
        <w:jc w:val="both"/>
        <w:rPr>
          <w:rFonts w:ascii="Perpetua" w:eastAsia="Calibri" w:hAnsi="Perpetua"/>
          <w:sz w:val="22"/>
          <w:szCs w:val="22"/>
          <w:lang w:val="es-ES_tradnl" w:eastAsia="zh-CN"/>
        </w:rPr>
      </w:pPr>
      <w:r>
        <w:rPr>
          <w:rFonts w:ascii="Perpetua" w:eastAsia="Calibri" w:hAnsi="Perpetua"/>
          <w:sz w:val="22"/>
          <w:szCs w:val="22"/>
          <w:lang w:val="es-ES_tradnl" w:eastAsia="zh-CN"/>
        </w:rPr>
        <w:t>Con fecha 26/04/2018, informe jurídico Área de Patrimonio.</w:t>
      </w:r>
    </w:p>
    <w:p w:rsidR="006C645A" w:rsidRDefault="008F51CA" w:rsidP="006C645A">
      <w:pPr>
        <w:pStyle w:val="Normal0"/>
        <w:numPr>
          <w:ilvl w:val="0"/>
          <w:numId w:val="1"/>
        </w:numPr>
        <w:contextualSpacing/>
        <w:jc w:val="both"/>
        <w:rPr>
          <w:rFonts w:ascii="Perpetua" w:eastAsia="Calibri" w:hAnsi="Perpetua"/>
          <w:sz w:val="22"/>
          <w:szCs w:val="22"/>
          <w:lang w:val="es-ES_tradnl" w:eastAsia="zh-CN"/>
        </w:rPr>
      </w:pPr>
      <w:r>
        <w:rPr>
          <w:rFonts w:ascii="Perpetua" w:eastAsia="Calibri" w:hAnsi="Perpetua"/>
          <w:sz w:val="22"/>
          <w:szCs w:val="22"/>
          <w:lang w:val="es-ES_tradnl" w:eastAsia="zh-CN"/>
        </w:rPr>
        <w:t>Con fecha 15/05/2018, Decreto Alcaldía inicio expediente.</w:t>
      </w:r>
    </w:p>
    <w:p w:rsidR="006C645A" w:rsidRDefault="008F51CA" w:rsidP="006C645A">
      <w:pPr>
        <w:pStyle w:val="Normal0"/>
        <w:numPr>
          <w:ilvl w:val="0"/>
          <w:numId w:val="1"/>
        </w:numPr>
        <w:contextualSpacing/>
        <w:jc w:val="both"/>
        <w:rPr>
          <w:rFonts w:ascii="Perpetua" w:eastAsia="Calibri" w:hAnsi="Perpetua"/>
          <w:sz w:val="22"/>
          <w:szCs w:val="22"/>
          <w:lang w:val="es-ES_tradnl" w:eastAsia="zh-CN"/>
        </w:rPr>
      </w:pPr>
      <w:r>
        <w:rPr>
          <w:rFonts w:ascii="Perpetua" w:eastAsia="Calibri" w:hAnsi="Perpetua"/>
          <w:sz w:val="22"/>
          <w:szCs w:val="22"/>
          <w:lang w:val="es-ES_tradnl" w:eastAsia="zh-CN"/>
        </w:rPr>
        <w:t>Con fechas 28, 29, 30 y 31/08/2018, informes del Área de Servicios Sociales.</w:t>
      </w:r>
    </w:p>
    <w:p w:rsidR="006C645A" w:rsidRDefault="008F51CA" w:rsidP="006C645A">
      <w:pPr>
        <w:pStyle w:val="Normal0"/>
        <w:numPr>
          <w:ilvl w:val="0"/>
          <w:numId w:val="1"/>
        </w:numPr>
        <w:contextualSpacing/>
        <w:jc w:val="both"/>
        <w:rPr>
          <w:rFonts w:ascii="Perpetua" w:eastAsia="Calibri" w:hAnsi="Perpetua"/>
          <w:sz w:val="22"/>
          <w:szCs w:val="22"/>
          <w:lang w:val="es-ES_tradnl" w:eastAsia="zh-CN"/>
        </w:rPr>
      </w:pPr>
      <w:r>
        <w:rPr>
          <w:rFonts w:ascii="Perpetua" w:eastAsia="Calibri" w:hAnsi="Perpetua"/>
          <w:sz w:val="22"/>
          <w:szCs w:val="22"/>
          <w:lang w:val="es-ES_tradnl" w:eastAsia="zh-CN"/>
        </w:rPr>
        <w:t xml:space="preserve">Tasas por </w:t>
      </w:r>
      <w:r>
        <w:rPr>
          <w:rFonts w:ascii="Perpetua" w:eastAsia="Calibri" w:hAnsi="Perpetua"/>
          <w:sz w:val="22"/>
          <w:szCs w:val="22"/>
          <w:lang w:val="es-ES_tradnl" w:eastAsia="zh-CN"/>
        </w:rPr>
        <w:t>instalación de quioscos en la vía pública, remitidas por la Oficina de Gestión Tributaria.</w:t>
      </w:r>
    </w:p>
    <w:p w:rsidR="006C645A" w:rsidRDefault="008F51CA" w:rsidP="006C645A">
      <w:pPr>
        <w:pStyle w:val="Normal0"/>
        <w:jc w:val="both"/>
        <w:rPr>
          <w:rFonts w:ascii="Perpetua" w:eastAsia="SimSun" w:hAnsi="Perpetua"/>
          <w:sz w:val="22"/>
          <w:szCs w:val="22"/>
          <w:lang w:val="es-ES_tradnl" w:eastAsia="zh-CN"/>
        </w:rPr>
      </w:pPr>
      <w:r>
        <w:rPr>
          <w:rFonts w:ascii="Perpetua" w:eastAsia="SimSun" w:hAnsi="Perpetua"/>
          <w:b/>
          <w:sz w:val="22"/>
          <w:szCs w:val="22"/>
          <w:lang w:val="es-ES_tradnl" w:eastAsia="zh-CN"/>
        </w:rPr>
        <w:t xml:space="preserve">CUARTO.- </w:t>
      </w:r>
      <w:r>
        <w:rPr>
          <w:rFonts w:ascii="Perpetua" w:eastAsia="SimSun" w:hAnsi="Perpetua"/>
          <w:sz w:val="22"/>
          <w:szCs w:val="22"/>
          <w:lang w:val="es-ES_tradnl" w:eastAsia="zh-CN"/>
        </w:rPr>
        <w:t>En el plazo establecido para presentación de instancias, se han recibido las siguientes solicitudes:</w:t>
      </w:r>
    </w:p>
    <w:p w:rsidR="006C645A" w:rsidRDefault="008F51CA" w:rsidP="006C645A">
      <w:pPr>
        <w:pStyle w:val="Normal0"/>
        <w:numPr>
          <w:ilvl w:val="0"/>
          <w:numId w:val="1"/>
        </w:numPr>
        <w:contextualSpacing/>
        <w:jc w:val="both"/>
        <w:rPr>
          <w:rFonts w:ascii="Perpetua" w:eastAsia="Calibri" w:hAnsi="Perpetua"/>
          <w:b/>
          <w:sz w:val="22"/>
          <w:szCs w:val="22"/>
          <w:lang w:val="es-ES_tradnl" w:eastAsia="zh-CN"/>
        </w:rPr>
      </w:pPr>
      <w:r>
        <w:rPr>
          <w:rFonts w:ascii="Perpetua" w:eastAsia="Calibri" w:hAnsi="Perpetua"/>
          <w:sz w:val="22"/>
          <w:szCs w:val="22"/>
          <w:lang w:val="es-ES_tradnl" w:eastAsia="zh-CN"/>
        </w:rPr>
        <w:t>Domingo Ortega Cárdenas, para quiosco ubicado en C/. Sa</w:t>
      </w:r>
      <w:r>
        <w:rPr>
          <w:rFonts w:ascii="Perpetua" w:eastAsia="Calibri" w:hAnsi="Perpetua"/>
          <w:sz w:val="22"/>
          <w:szCs w:val="22"/>
          <w:lang w:val="es-ES_tradnl" w:eastAsia="zh-CN"/>
        </w:rPr>
        <w:t>ncho IV el Bravo.</w:t>
      </w:r>
    </w:p>
    <w:p w:rsidR="006C645A" w:rsidRDefault="008F51CA" w:rsidP="006C645A">
      <w:pPr>
        <w:pStyle w:val="Normal0"/>
        <w:numPr>
          <w:ilvl w:val="0"/>
          <w:numId w:val="1"/>
        </w:numPr>
        <w:contextualSpacing/>
        <w:jc w:val="both"/>
        <w:rPr>
          <w:rFonts w:ascii="Perpetua" w:eastAsia="Calibri" w:hAnsi="Perpetua"/>
          <w:b/>
          <w:sz w:val="22"/>
          <w:szCs w:val="22"/>
          <w:lang w:val="es-ES_tradnl" w:eastAsia="zh-CN"/>
        </w:rPr>
      </w:pPr>
      <w:r>
        <w:rPr>
          <w:rFonts w:ascii="Perpetua" w:eastAsia="Calibri" w:hAnsi="Perpetua"/>
          <w:sz w:val="22"/>
          <w:szCs w:val="22"/>
          <w:lang w:val="es-ES_tradnl" w:eastAsia="zh-CN"/>
        </w:rPr>
        <w:t>Domingo Ortega Cárdenas, para quiosco ubicado en C/. Colón.</w:t>
      </w:r>
    </w:p>
    <w:p w:rsidR="006C645A" w:rsidRDefault="008F51CA" w:rsidP="006C645A">
      <w:pPr>
        <w:pStyle w:val="Normal0"/>
        <w:numPr>
          <w:ilvl w:val="0"/>
          <w:numId w:val="1"/>
        </w:numPr>
        <w:contextualSpacing/>
        <w:jc w:val="both"/>
        <w:rPr>
          <w:rFonts w:ascii="Perpetua" w:eastAsia="Calibri" w:hAnsi="Perpetua"/>
          <w:b/>
          <w:sz w:val="22"/>
          <w:szCs w:val="22"/>
          <w:lang w:val="es-ES_tradnl" w:eastAsia="zh-CN"/>
        </w:rPr>
      </w:pPr>
      <w:r>
        <w:rPr>
          <w:rFonts w:ascii="Perpetua" w:eastAsia="Calibri" w:hAnsi="Perpetua"/>
          <w:sz w:val="22"/>
          <w:szCs w:val="22"/>
          <w:lang w:val="es-ES_tradnl" w:eastAsia="zh-CN"/>
        </w:rPr>
        <w:t>María Luz Moreno Piñero, para quiosco ubicado en C/. Colón.</w:t>
      </w:r>
    </w:p>
    <w:p w:rsidR="006C645A" w:rsidRDefault="008F51CA" w:rsidP="006C645A">
      <w:pPr>
        <w:pStyle w:val="Normal0"/>
        <w:numPr>
          <w:ilvl w:val="0"/>
          <w:numId w:val="1"/>
        </w:numPr>
        <w:contextualSpacing/>
        <w:jc w:val="both"/>
        <w:rPr>
          <w:rFonts w:ascii="Perpetua" w:eastAsia="Calibri" w:hAnsi="Perpetua"/>
          <w:b/>
          <w:sz w:val="22"/>
          <w:szCs w:val="22"/>
          <w:lang w:val="es-ES_tradnl" w:eastAsia="zh-CN"/>
        </w:rPr>
      </w:pPr>
      <w:r>
        <w:rPr>
          <w:rFonts w:ascii="Perpetua" w:eastAsia="Calibri" w:hAnsi="Perpetua"/>
          <w:sz w:val="22"/>
          <w:szCs w:val="22"/>
          <w:lang w:val="es-ES_tradnl" w:eastAsia="zh-CN"/>
        </w:rPr>
        <w:t xml:space="preserve">Servando Moreno Blanco, para quiosco ubicado en C/. Colón. </w:t>
      </w:r>
    </w:p>
    <w:p w:rsidR="006C645A" w:rsidRDefault="008F51CA" w:rsidP="006C645A">
      <w:pPr>
        <w:pStyle w:val="Normal0"/>
        <w:numPr>
          <w:ilvl w:val="0"/>
          <w:numId w:val="1"/>
        </w:numPr>
        <w:contextualSpacing/>
        <w:jc w:val="both"/>
        <w:rPr>
          <w:rFonts w:ascii="Perpetua" w:eastAsia="Calibri" w:hAnsi="Perpetua"/>
          <w:b/>
          <w:sz w:val="22"/>
          <w:szCs w:val="22"/>
          <w:lang w:val="es-ES_tradnl" w:eastAsia="zh-CN"/>
        </w:rPr>
      </w:pPr>
      <w:r>
        <w:rPr>
          <w:rFonts w:ascii="Perpetua" w:eastAsia="Calibri" w:hAnsi="Perpetua"/>
          <w:sz w:val="22"/>
          <w:szCs w:val="22"/>
          <w:lang w:val="es-ES_tradnl" w:eastAsia="zh-CN"/>
        </w:rPr>
        <w:t>Sandra Rivero Vázquez, para quiosco ubicado en C/. Colón.</w:t>
      </w:r>
    </w:p>
    <w:p w:rsidR="006C645A" w:rsidRDefault="008F51CA" w:rsidP="006C645A">
      <w:pPr>
        <w:pStyle w:val="Normal0"/>
        <w:numPr>
          <w:ilvl w:val="0"/>
          <w:numId w:val="1"/>
        </w:numPr>
        <w:contextualSpacing/>
        <w:jc w:val="both"/>
        <w:rPr>
          <w:rFonts w:ascii="Perpetua" w:eastAsia="Calibri" w:hAnsi="Perpetua"/>
          <w:b/>
          <w:sz w:val="22"/>
          <w:szCs w:val="22"/>
          <w:lang w:val="es-ES_tradnl" w:eastAsia="zh-CN"/>
        </w:rPr>
      </w:pPr>
      <w:r>
        <w:rPr>
          <w:rFonts w:ascii="Perpetua" w:eastAsia="Calibri" w:hAnsi="Perpetua"/>
          <w:sz w:val="22"/>
          <w:szCs w:val="22"/>
          <w:lang w:val="es-ES_tradnl" w:eastAsia="zh-CN"/>
        </w:rPr>
        <w:t>Sheila Fuentes Perea para quioscos ubicados en C/. Colón y C/. Sancho IV el Bravo.</w:t>
      </w:r>
    </w:p>
    <w:p w:rsidR="006C645A" w:rsidRDefault="008F51CA" w:rsidP="006C645A">
      <w:pPr>
        <w:pStyle w:val="Normal0"/>
        <w:jc w:val="both"/>
        <w:rPr>
          <w:rFonts w:ascii="Perpetua" w:eastAsia="SimSun" w:hAnsi="Perpetua"/>
          <w:sz w:val="22"/>
          <w:szCs w:val="22"/>
          <w:lang w:val="es-ES_tradnl" w:eastAsia="zh-CN"/>
        </w:rPr>
      </w:pPr>
    </w:p>
    <w:p w:rsidR="006C645A" w:rsidRDefault="008F51CA" w:rsidP="006C645A">
      <w:pPr>
        <w:pStyle w:val="Normal0"/>
        <w:jc w:val="both"/>
        <w:rPr>
          <w:rFonts w:ascii="Perpetua" w:eastAsia="SimSun" w:hAnsi="Perpetua"/>
          <w:b/>
          <w:sz w:val="22"/>
          <w:szCs w:val="22"/>
          <w:lang w:eastAsia="zh-CN"/>
        </w:rPr>
      </w:pPr>
      <w:r>
        <w:rPr>
          <w:rFonts w:ascii="Perpetua" w:eastAsia="SimSun" w:hAnsi="Perpetua"/>
          <w:b/>
          <w:sz w:val="22"/>
          <w:szCs w:val="22"/>
          <w:lang w:eastAsia="zh-CN"/>
        </w:rPr>
        <w:t>FUNDAMENTOS:</w:t>
      </w:r>
    </w:p>
    <w:p w:rsidR="008F51CA" w:rsidRDefault="008F51CA" w:rsidP="006C645A">
      <w:pPr>
        <w:pStyle w:val="Normal0"/>
        <w:jc w:val="both"/>
        <w:rPr>
          <w:rFonts w:ascii="Perpetua" w:eastAsia="SimSun" w:hAnsi="Perpetua"/>
          <w:b/>
          <w:sz w:val="22"/>
          <w:szCs w:val="22"/>
          <w:lang w:eastAsia="zh-CN"/>
        </w:rPr>
      </w:pPr>
      <w:bookmarkStart w:id="1" w:name="_GoBack"/>
      <w:bookmarkEnd w:id="1"/>
    </w:p>
    <w:p w:rsidR="006C645A" w:rsidRDefault="008F51CA" w:rsidP="006C645A">
      <w:pPr>
        <w:pStyle w:val="Normal0"/>
        <w:jc w:val="both"/>
        <w:rPr>
          <w:rFonts w:ascii="Perpetua" w:eastAsia="SimSun" w:hAnsi="Perpetua"/>
          <w:sz w:val="22"/>
          <w:szCs w:val="22"/>
          <w:lang w:eastAsia="zh-CN"/>
        </w:rPr>
      </w:pPr>
      <w:r>
        <w:rPr>
          <w:rFonts w:ascii="Perpetua" w:eastAsia="SimSun" w:hAnsi="Perpetua"/>
          <w:sz w:val="22"/>
          <w:szCs w:val="22"/>
          <w:lang w:eastAsia="zh-CN"/>
        </w:rPr>
        <w:t xml:space="preserve">De conformidad con lo establecido en los apartados 5 y 9 del Pliego de Condiciones aprobado para la adjudicación de los quioscos, se procede a valorar las </w:t>
      </w:r>
      <w:r>
        <w:rPr>
          <w:rFonts w:ascii="Perpetua" w:eastAsia="SimSun" w:hAnsi="Perpetua"/>
          <w:sz w:val="22"/>
          <w:szCs w:val="22"/>
          <w:lang w:eastAsia="zh-CN"/>
        </w:rPr>
        <w:t>distintas peticiones en función de la baremación establecida, según propuesta del Departamento de Patrimonio, resultando lo siguiente:</w:t>
      </w:r>
    </w:p>
    <w:p w:rsidR="006C645A" w:rsidRDefault="008F51CA" w:rsidP="006C645A">
      <w:pPr>
        <w:pStyle w:val="Normal0"/>
        <w:ind w:firstLine="705"/>
        <w:jc w:val="both"/>
        <w:rPr>
          <w:rFonts w:ascii="Perpetua" w:eastAsia="SimSun" w:hAnsi="Perpetua"/>
          <w:sz w:val="22"/>
          <w:szCs w:val="22"/>
          <w:lang w:eastAsia="zh-CN"/>
        </w:rPr>
      </w:pPr>
    </w:p>
    <w:tbl>
      <w:tblPr>
        <w:tblStyle w:val="Tablaconcuadrcula10"/>
        <w:tblW w:w="8500" w:type="dxa"/>
        <w:tblLook w:val="04A0" w:firstRow="1" w:lastRow="0" w:firstColumn="1" w:lastColumn="0" w:noHBand="0" w:noVBand="1"/>
      </w:tblPr>
      <w:tblGrid>
        <w:gridCol w:w="3681"/>
        <w:gridCol w:w="1134"/>
        <w:gridCol w:w="3685"/>
      </w:tblGrid>
      <w:tr w:rsidR="00E1037C" w:rsidTr="006C645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5A" w:rsidRDefault="008F51CA">
            <w:pPr>
              <w:pStyle w:val="Normal0"/>
              <w:rPr>
                <w:rFonts w:ascii="Perpetua" w:eastAsia="SimSun" w:hAnsi="Perpetua"/>
                <w:b/>
                <w:lang w:eastAsia="zh-CN"/>
              </w:rPr>
            </w:pPr>
            <w:r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  <w:t>SOLICITANTE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5A" w:rsidRDefault="008F51CA">
            <w:pPr>
              <w:pStyle w:val="Normal0"/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</w:pPr>
            <w:r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  <w:t>BAREMO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5A" w:rsidRDefault="008F51CA">
            <w:pPr>
              <w:pStyle w:val="Normal0"/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</w:pPr>
            <w:r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  <w:t>QUIOSCO UBICACION</w:t>
            </w:r>
          </w:p>
        </w:tc>
      </w:tr>
      <w:tr w:rsidR="00E1037C" w:rsidTr="006C645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5A" w:rsidRDefault="008F51CA">
            <w:pPr>
              <w:pStyle w:val="Normal0"/>
              <w:rPr>
                <w:rFonts w:ascii="Perpetua" w:eastAsia="SimSun" w:hAnsi="Perpetua"/>
                <w:b/>
                <w:lang w:val="es-ES_tradnl" w:eastAsia="zh-CN"/>
              </w:rPr>
            </w:pPr>
            <w:r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  <w:t>DOMINGO ORTEGA CARDENAS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5A" w:rsidRDefault="008F51CA">
            <w:pPr>
              <w:pStyle w:val="Normal0"/>
              <w:rPr>
                <w:rFonts w:ascii="Perpetua" w:eastAsia="SimSun" w:hAnsi="Perpetua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5A" w:rsidRDefault="008F51CA">
            <w:pPr>
              <w:pStyle w:val="Normal0"/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</w:pPr>
            <w:r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  <w:t>C/. SANCHO IV EL BRAVO Y C/. COLON</w:t>
            </w:r>
          </w:p>
        </w:tc>
      </w:tr>
      <w:tr w:rsidR="00E1037C" w:rsidTr="006C645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5A" w:rsidRDefault="008F51CA">
            <w:pPr>
              <w:pStyle w:val="Normal0"/>
              <w:rPr>
                <w:rFonts w:ascii="Perpetua" w:eastAsia="SimSun" w:hAnsi="Perpetua"/>
                <w:b/>
                <w:lang w:val="es-ES_tradnl" w:eastAsia="zh-CN"/>
              </w:rPr>
            </w:pPr>
            <w:r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  <w:t xml:space="preserve">MARIA LUZ MORENO </w:t>
            </w:r>
            <w:r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  <w:t>PIÑERO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5A" w:rsidRDefault="008F51CA">
            <w:pPr>
              <w:pStyle w:val="Normal0"/>
              <w:rPr>
                <w:rFonts w:ascii="Perpetua" w:eastAsia="SimSun" w:hAnsi="Perpetua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5A" w:rsidRDefault="008F51CA">
            <w:pPr>
              <w:pStyle w:val="Normal0"/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</w:pPr>
            <w:r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  <w:t>C/. COLON</w:t>
            </w:r>
          </w:p>
        </w:tc>
      </w:tr>
      <w:tr w:rsidR="00E1037C" w:rsidTr="006C645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5A" w:rsidRDefault="008F51CA">
            <w:pPr>
              <w:pStyle w:val="Normal0"/>
              <w:rPr>
                <w:rFonts w:ascii="Perpetua" w:eastAsia="SimSun" w:hAnsi="Perpetua"/>
                <w:b/>
                <w:lang w:val="es-ES_tradnl" w:eastAsia="zh-CN"/>
              </w:rPr>
            </w:pPr>
            <w:r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  <w:t>SERVANDO MORENO BLANCO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5A" w:rsidRDefault="008F51CA">
            <w:pPr>
              <w:pStyle w:val="Normal0"/>
              <w:rPr>
                <w:rFonts w:ascii="Perpetua" w:eastAsia="SimSun" w:hAnsi="Perpetua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5A" w:rsidRDefault="008F51CA">
            <w:pPr>
              <w:pStyle w:val="Normal0"/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</w:pPr>
            <w:r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  <w:t>C/. COLON</w:t>
            </w:r>
          </w:p>
        </w:tc>
      </w:tr>
      <w:tr w:rsidR="00E1037C" w:rsidTr="006C645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5A" w:rsidRDefault="008F51CA">
            <w:pPr>
              <w:pStyle w:val="Normal0"/>
              <w:rPr>
                <w:rFonts w:ascii="Perpetua" w:eastAsia="SimSun" w:hAnsi="Perpetua"/>
                <w:b/>
                <w:lang w:val="es-ES_tradnl" w:eastAsia="zh-CN"/>
              </w:rPr>
            </w:pPr>
            <w:r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  <w:t>SANDRA RIVERO VAZQUEZ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5A" w:rsidRDefault="008F51CA">
            <w:pPr>
              <w:pStyle w:val="Normal0"/>
              <w:rPr>
                <w:rFonts w:ascii="Perpetua" w:eastAsia="SimSun" w:hAnsi="Perpetua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5A" w:rsidRDefault="008F51CA">
            <w:pPr>
              <w:pStyle w:val="Normal0"/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</w:pPr>
            <w:r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  <w:t>C/. COLON</w:t>
            </w:r>
          </w:p>
        </w:tc>
      </w:tr>
      <w:tr w:rsidR="00E1037C" w:rsidTr="006C645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5A" w:rsidRDefault="008F51CA">
            <w:pPr>
              <w:pStyle w:val="Normal0"/>
              <w:rPr>
                <w:rFonts w:ascii="Perpetua" w:eastAsia="SimSun" w:hAnsi="Perpetua"/>
                <w:b/>
                <w:lang w:val="es-ES_tradnl" w:eastAsia="zh-CN"/>
              </w:rPr>
            </w:pPr>
            <w:r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  <w:t>SHEILA FUENTES PEREA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5A" w:rsidRDefault="008F51CA">
            <w:pPr>
              <w:pStyle w:val="Normal0"/>
              <w:rPr>
                <w:rFonts w:ascii="Perpetua" w:eastAsia="SimSun" w:hAnsi="Perpetua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5A" w:rsidRDefault="008F51CA">
            <w:pPr>
              <w:pStyle w:val="Normal0"/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</w:pPr>
            <w:r>
              <w:rPr>
                <w:rFonts w:ascii="Perpetua" w:eastAsia="SimSun" w:hAnsi="Perpetua"/>
                <w:b/>
                <w:sz w:val="20"/>
                <w:szCs w:val="20"/>
                <w:lang w:eastAsia="zh-CN"/>
              </w:rPr>
              <w:t>C/. COLON Y C/. SANCHO IV EL BRAVO</w:t>
            </w:r>
          </w:p>
        </w:tc>
      </w:tr>
    </w:tbl>
    <w:p w:rsidR="006C645A" w:rsidRDefault="008F51CA" w:rsidP="006C645A">
      <w:pPr>
        <w:pStyle w:val="Normal0"/>
        <w:jc w:val="both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ab/>
      </w:r>
    </w:p>
    <w:p w:rsidR="006C645A" w:rsidRDefault="008F51CA" w:rsidP="006C645A">
      <w:pPr>
        <w:pStyle w:val="Normal0"/>
        <w:jc w:val="both"/>
        <w:rPr>
          <w:rFonts w:ascii="Perpetua" w:hAnsi="Perpetua" w:cs="Arial"/>
          <w:sz w:val="22"/>
          <w:szCs w:val="22"/>
        </w:rPr>
      </w:pPr>
      <w:r>
        <w:rPr>
          <w:rFonts w:ascii="Perpetua" w:hAnsi="Perpetua"/>
          <w:sz w:val="22"/>
          <w:szCs w:val="22"/>
        </w:rPr>
        <w:t xml:space="preserve">A la vista de ello, siendo el Sr. Alcalde el órgano competente para autorizar la ocupación de la vía </w:t>
      </w:r>
      <w:r>
        <w:rPr>
          <w:rFonts w:ascii="Perpetua" w:hAnsi="Perpetua"/>
          <w:sz w:val="22"/>
          <w:szCs w:val="22"/>
        </w:rPr>
        <w:t>pública con quioscos, según Disposición Adicional Segunda del Texto Refundido de la Ley de Contratos del Sector Público</w:t>
      </w:r>
      <w:r>
        <w:rPr>
          <w:rFonts w:ascii="Perpetua" w:hAnsi="Perpetua" w:cs="Arial"/>
          <w:sz w:val="22"/>
          <w:szCs w:val="22"/>
        </w:rPr>
        <w:t>, RESUELVE:</w:t>
      </w:r>
    </w:p>
    <w:p w:rsidR="006C645A" w:rsidRDefault="008F51CA" w:rsidP="006C645A">
      <w:pPr>
        <w:pStyle w:val="Normal0"/>
        <w:jc w:val="both"/>
        <w:rPr>
          <w:rFonts w:ascii="Perpetua" w:hAnsi="Perpetua"/>
          <w:sz w:val="22"/>
          <w:szCs w:val="22"/>
        </w:rPr>
      </w:pPr>
      <w:r>
        <w:rPr>
          <w:rFonts w:ascii="Perpetua" w:hAnsi="Perpetua" w:cs="Arial"/>
          <w:b/>
          <w:sz w:val="22"/>
          <w:szCs w:val="22"/>
        </w:rPr>
        <w:t>Primero</w:t>
      </w:r>
      <w:r>
        <w:rPr>
          <w:rFonts w:ascii="Perpetua" w:hAnsi="Perpetua"/>
          <w:b/>
          <w:sz w:val="22"/>
          <w:szCs w:val="22"/>
        </w:rPr>
        <w:t>:</w:t>
      </w:r>
      <w:r>
        <w:rPr>
          <w:rFonts w:ascii="Perpetua" w:hAnsi="Perpetua"/>
          <w:sz w:val="22"/>
          <w:szCs w:val="22"/>
        </w:rPr>
        <w:t xml:space="preserve"> Adjudicar los quioscos para la venta de chucherías ubicados en las C/. Colón y Sancho IV el Bravo, a las personas  q</w:t>
      </w:r>
      <w:r>
        <w:rPr>
          <w:rFonts w:ascii="Perpetua" w:hAnsi="Perpetua"/>
          <w:sz w:val="22"/>
          <w:szCs w:val="22"/>
        </w:rPr>
        <w:t>ue se citan:</w:t>
      </w:r>
    </w:p>
    <w:p w:rsidR="006C645A" w:rsidRDefault="008F51CA" w:rsidP="006C645A">
      <w:pPr>
        <w:pStyle w:val="Normal0"/>
        <w:numPr>
          <w:ilvl w:val="0"/>
          <w:numId w:val="1"/>
        </w:numPr>
        <w:contextualSpacing/>
        <w:rPr>
          <w:rFonts w:ascii="Perpetua" w:eastAsia="Calibri" w:hAnsi="Perpetua"/>
          <w:sz w:val="22"/>
          <w:szCs w:val="22"/>
          <w:lang w:eastAsia="zh-CN"/>
        </w:rPr>
      </w:pPr>
      <w:r>
        <w:rPr>
          <w:rFonts w:ascii="Perpetua" w:eastAsia="Calibri" w:hAnsi="Perpetua"/>
          <w:sz w:val="22"/>
          <w:szCs w:val="22"/>
          <w:lang w:eastAsia="zh-CN"/>
        </w:rPr>
        <w:t>Servando Moreno Blanco, quiosco ubicado en C/. Colón.</w:t>
      </w:r>
    </w:p>
    <w:p w:rsidR="006C645A" w:rsidRDefault="008F51CA" w:rsidP="006C645A">
      <w:pPr>
        <w:pStyle w:val="Normal0"/>
        <w:numPr>
          <w:ilvl w:val="0"/>
          <w:numId w:val="1"/>
        </w:numPr>
        <w:contextualSpacing/>
        <w:jc w:val="both"/>
        <w:rPr>
          <w:rFonts w:ascii="Perpetua" w:eastAsia="Calibri" w:hAnsi="Perpetua"/>
          <w:sz w:val="22"/>
          <w:szCs w:val="22"/>
          <w:lang w:eastAsia="zh-CN"/>
        </w:rPr>
      </w:pPr>
      <w:r>
        <w:rPr>
          <w:rFonts w:ascii="Perpetua" w:eastAsia="Calibri" w:hAnsi="Perpetua"/>
          <w:sz w:val="22"/>
          <w:szCs w:val="22"/>
          <w:lang w:eastAsia="zh-CN"/>
        </w:rPr>
        <w:t>Domingo Ortega Cárdenas, quiosco ubicado en C/. Sancho IV el Bravo.</w:t>
      </w:r>
      <w:r>
        <w:rPr>
          <w:rFonts w:ascii="Perpetua" w:eastAsia="Calibri" w:hAnsi="Perpetua"/>
          <w:sz w:val="22"/>
          <w:szCs w:val="22"/>
          <w:lang w:eastAsia="zh-CN"/>
        </w:rPr>
        <w:tab/>
      </w:r>
    </w:p>
    <w:p w:rsidR="006C645A" w:rsidRDefault="008F51CA" w:rsidP="006C645A">
      <w:pPr>
        <w:pStyle w:val="Normal0"/>
        <w:jc w:val="both"/>
        <w:rPr>
          <w:rFonts w:ascii="Perpetua" w:hAnsi="Perpetua"/>
          <w:sz w:val="22"/>
          <w:szCs w:val="22"/>
        </w:rPr>
      </w:pPr>
    </w:p>
    <w:p w:rsidR="006C645A" w:rsidRDefault="008F51CA" w:rsidP="006C645A">
      <w:pPr>
        <w:pStyle w:val="Normal0"/>
        <w:jc w:val="both"/>
        <w:rPr>
          <w:rFonts w:ascii="Perpetua" w:hAnsi="Perpetua" w:cs="Arial"/>
          <w:sz w:val="22"/>
          <w:szCs w:val="22"/>
        </w:rPr>
      </w:pPr>
      <w:r>
        <w:rPr>
          <w:rFonts w:ascii="Perpetua" w:hAnsi="Perpetua" w:cs="Arial"/>
          <w:b/>
          <w:sz w:val="22"/>
          <w:szCs w:val="22"/>
        </w:rPr>
        <w:t>Segundo:</w:t>
      </w:r>
      <w:r>
        <w:rPr>
          <w:rFonts w:ascii="Perpetua" w:hAnsi="Perpetua" w:cs="Arial"/>
          <w:sz w:val="22"/>
          <w:szCs w:val="22"/>
        </w:rPr>
        <w:t xml:space="preserve"> La ocupación de la vía pública para instalación de quiosco se regirá por el pliego de condiciones y ordenanza </w:t>
      </w:r>
      <w:r>
        <w:rPr>
          <w:rFonts w:ascii="Perpetua" w:hAnsi="Perpetua" w:cs="Arial"/>
          <w:sz w:val="22"/>
          <w:szCs w:val="22"/>
        </w:rPr>
        <w:t>reguladora de estos quioscos (BOP de Cádiz núm. 58, de 28/03/2006), y en concreto son obligaciones genéricas de las personas concesionarias, el mantener en buen estado la parte del dominio público utilizado y, en su caso, las obras que construyere. Así com</w:t>
      </w:r>
      <w:r>
        <w:rPr>
          <w:rFonts w:ascii="Perpetua" w:hAnsi="Perpetua" w:cs="Arial"/>
          <w:sz w:val="22"/>
          <w:szCs w:val="22"/>
        </w:rPr>
        <w:t>o abandonar y dejar a disposición de la Entidad Local, dentro del plazo señalado para ello, los bienes objeto de la concesión con reconocimiento de la potestad de aquélla para acordar y ejecutar por sí el lanzamiento.</w:t>
      </w:r>
    </w:p>
    <w:p w:rsidR="006C645A" w:rsidRDefault="008F51CA" w:rsidP="006C645A">
      <w:pPr>
        <w:pStyle w:val="Normal0"/>
        <w:jc w:val="both"/>
        <w:rPr>
          <w:rFonts w:ascii="Perpetua" w:hAnsi="Perpetua" w:cs="Arial"/>
          <w:sz w:val="22"/>
          <w:szCs w:val="22"/>
        </w:rPr>
      </w:pPr>
      <w:r>
        <w:rPr>
          <w:rFonts w:ascii="Perpetua" w:hAnsi="Perpetua" w:cs="Arial"/>
          <w:b/>
          <w:sz w:val="22"/>
          <w:szCs w:val="22"/>
        </w:rPr>
        <w:t>Tercero:</w:t>
      </w:r>
      <w:r>
        <w:rPr>
          <w:rFonts w:ascii="Perpetua" w:hAnsi="Perpetua" w:cs="Arial"/>
          <w:sz w:val="22"/>
          <w:szCs w:val="22"/>
        </w:rPr>
        <w:t xml:space="preserve"> Es facultad de la Entidad Loc</w:t>
      </w:r>
      <w:r>
        <w:rPr>
          <w:rFonts w:ascii="Perpetua" w:hAnsi="Perpetua" w:cs="Arial"/>
          <w:sz w:val="22"/>
          <w:szCs w:val="22"/>
        </w:rPr>
        <w:t>al el poder inspeccionar en todo momento los bienes objeto de la concesión, así como las construcciones de la misma.</w:t>
      </w:r>
    </w:p>
    <w:p w:rsidR="006C645A" w:rsidRDefault="008F51CA" w:rsidP="006C645A">
      <w:pPr>
        <w:pStyle w:val="Normal0"/>
        <w:jc w:val="both"/>
        <w:rPr>
          <w:rFonts w:ascii="Perpetua" w:hAnsi="Perpetua" w:cs="Arial"/>
          <w:sz w:val="22"/>
          <w:szCs w:val="22"/>
        </w:rPr>
      </w:pPr>
      <w:r>
        <w:rPr>
          <w:rFonts w:ascii="Perpetua" w:hAnsi="Perpetua" w:cs="Arial"/>
          <w:b/>
          <w:sz w:val="22"/>
          <w:szCs w:val="22"/>
        </w:rPr>
        <w:t>Cuarto:</w:t>
      </w:r>
      <w:r>
        <w:rPr>
          <w:rFonts w:ascii="Perpetua" w:hAnsi="Perpetua" w:cs="Arial"/>
          <w:sz w:val="22"/>
          <w:szCs w:val="22"/>
        </w:rPr>
        <w:t xml:space="preserve"> Plazo de la adjudicación, se establece en 10 años que podrán ser prorrogados año a año (hasta un máximo de 5 años), hasta que sea d</w:t>
      </w:r>
      <w:r>
        <w:rPr>
          <w:rFonts w:ascii="Perpetua" w:hAnsi="Perpetua" w:cs="Arial"/>
          <w:sz w:val="22"/>
          <w:szCs w:val="22"/>
        </w:rPr>
        <w:t>enunciada su prórroga por alguna de las partes de forma expresa. Una vez acabada la concesión el quiosco revertirá a la propiedad municipal.</w:t>
      </w:r>
    </w:p>
    <w:p w:rsidR="006C645A" w:rsidRDefault="008F51CA" w:rsidP="006C645A">
      <w:pPr>
        <w:pStyle w:val="Normal0"/>
        <w:jc w:val="both"/>
        <w:rPr>
          <w:rFonts w:ascii="Perpetua" w:hAnsi="Perpetua" w:cs="Arial"/>
          <w:sz w:val="22"/>
          <w:szCs w:val="22"/>
        </w:rPr>
      </w:pPr>
      <w:r>
        <w:rPr>
          <w:rFonts w:ascii="Perpetua" w:hAnsi="Perpetua" w:cs="Arial"/>
          <w:b/>
          <w:sz w:val="22"/>
          <w:szCs w:val="22"/>
        </w:rPr>
        <w:t>Quinto:</w:t>
      </w:r>
      <w:r>
        <w:rPr>
          <w:rFonts w:ascii="Perpetua" w:hAnsi="Perpetua" w:cs="Arial"/>
          <w:sz w:val="22"/>
          <w:szCs w:val="22"/>
        </w:rPr>
        <w:t xml:space="preserve"> La persona autorizada queda obligada a constituir una fianza del 5% </w:t>
      </w:r>
      <w:r>
        <w:rPr>
          <w:rFonts w:ascii="Perpetua" w:hAnsi="Perpetua" w:cs="Arial"/>
          <w:sz w:val="22"/>
          <w:szCs w:val="22"/>
        </w:rPr>
        <w:t xml:space="preserve">(23,46 €) </w:t>
      </w:r>
      <w:r>
        <w:rPr>
          <w:rFonts w:ascii="Perpetua" w:hAnsi="Perpetua" w:cs="Arial"/>
          <w:sz w:val="22"/>
          <w:szCs w:val="22"/>
        </w:rPr>
        <w:t xml:space="preserve">de la tasa </w:t>
      </w:r>
      <w:r>
        <w:rPr>
          <w:rFonts w:ascii="Perpetua" w:hAnsi="Perpetua" w:cs="Arial"/>
          <w:sz w:val="22"/>
          <w:szCs w:val="22"/>
        </w:rPr>
        <w:t xml:space="preserve">anual (469,20 €) </w:t>
      </w:r>
      <w:r>
        <w:rPr>
          <w:rFonts w:ascii="Perpetua" w:hAnsi="Perpetua" w:cs="Arial"/>
          <w:sz w:val="22"/>
          <w:szCs w:val="22"/>
        </w:rPr>
        <w:t>e</w:t>
      </w:r>
      <w:r>
        <w:rPr>
          <w:rFonts w:ascii="Perpetua" w:hAnsi="Perpetua" w:cs="Arial"/>
          <w:sz w:val="22"/>
          <w:szCs w:val="22"/>
        </w:rPr>
        <w:t>stablecida por la Oficina de Gestión Tributaria, en un plazo de 15 días desde la fecha de notificación de la resolución.</w:t>
      </w:r>
    </w:p>
    <w:p w:rsidR="006C645A" w:rsidRDefault="008F51CA" w:rsidP="006C645A">
      <w:pPr>
        <w:pStyle w:val="Normal0"/>
        <w:jc w:val="both"/>
        <w:rPr>
          <w:rFonts w:ascii="Perpetua" w:hAnsi="Perpetua" w:cs="Arial"/>
          <w:sz w:val="22"/>
          <w:szCs w:val="22"/>
        </w:rPr>
      </w:pPr>
      <w:r>
        <w:rPr>
          <w:rFonts w:ascii="Perpetua" w:hAnsi="Perpetua" w:cs="Arial"/>
          <w:b/>
          <w:sz w:val="22"/>
          <w:szCs w:val="22"/>
        </w:rPr>
        <w:t>Sexto:</w:t>
      </w:r>
      <w:r>
        <w:rPr>
          <w:rFonts w:ascii="Perpetua" w:hAnsi="Perpetua" w:cs="Arial"/>
          <w:sz w:val="22"/>
          <w:szCs w:val="22"/>
        </w:rPr>
        <w:t xml:space="preserve"> El incumplimiento de la obligación de pago de la fianza establecida y de la tasa municipal correspondiente supondrá la resolució</w:t>
      </w:r>
      <w:r>
        <w:rPr>
          <w:rFonts w:ascii="Perpetua" w:hAnsi="Perpetua" w:cs="Arial"/>
          <w:sz w:val="22"/>
          <w:szCs w:val="22"/>
        </w:rPr>
        <w:t>n de la autorización.</w:t>
      </w:r>
    </w:p>
    <w:p w:rsidR="006C645A" w:rsidRDefault="008F51CA" w:rsidP="006C645A">
      <w:pPr>
        <w:pStyle w:val="Normal0"/>
        <w:jc w:val="both"/>
        <w:rPr>
          <w:rFonts w:ascii="Perpetua" w:hAnsi="Perpetua" w:cs="Arial"/>
          <w:sz w:val="22"/>
          <w:szCs w:val="22"/>
        </w:rPr>
      </w:pPr>
      <w:r>
        <w:rPr>
          <w:rFonts w:ascii="Perpetua" w:hAnsi="Perpetua" w:cs="Arial"/>
          <w:b/>
          <w:sz w:val="22"/>
          <w:szCs w:val="22"/>
        </w:rPr>
        <w:t>Séptimo:</w:t>
      </w:r>
      <w:r>
        <w:rPr>
          <w:rFonts w:ascii="Perpetua" w:hAnsi="Perpetua" w:cs="Arial"/>
          <w:sz w:val="22"/>
          <w:szCs w:val="22"/>
        </w:rPr>
        <w:t xml:space="preserve"> La ocupación de la vía pública deberá realizarse, siguiendo las instrucciones dadas por el personal técnico municipal, y en todo caso, sin perjudicar el paso de peatones y vehículos por la misma.</w:t>
      </w:r>
    </w:p>
    <w:p w:rsidR="006C645A" w:rsidRDefault="008F51CA" w:rsidP="006C645A">
      <w:pPr>
        <w:pStyle w:val="Normal0"/>
        <w:jc w:val="both"/>
        <w:rPr>
          <w:rFonts w:ascii="Perpetua" w:hAnsi="Perpetua" w:cs="Arial"/>
          <w:sz w:val="22"/>
          <w:szCs w:val="22"/>
        </w:rPr>
      </w:pPr>
      <w:r>
        <w:rPr>
          <w:rFonts w:ascii="Perpetua" w:hAnsi="Perpetua" w:cs="Arial"/>
          <w:b/>
          <w:sz w:val="22"/>
          <w:szCs w:val="22"/>
        </w:rPr>
        <w:t>Octavo:</w:t>
      </w:r>
      <w:r>
        <w:rPr>
          <w:rFonts w:ascii="Perpetua" w:hAnsi="Perpetua" w:cs="Arial"/>
          <w:sz w:val="22"/>
          <w:szCs w:val="22"/>
        </w:rPr>
        <w:t xml:space="preserve"> El incumplimiento de algunas de las condiciones recogidas en el pliego, supondrá la revocación de la autorización, sin derecho de la persona interesada a indemnización alguna.</w:t>
      </w:r>
    </w:p>
    <w:p w:rsidR="006C645A" w:rsidRDefault="008F51CA" w:rsidP="006C645A">
      <w:pPr>
        <w:pStyle w:val="Normal0"/>
        <w:jc w:val="both"/>
        <w:rPr>
          <w:rFonts w:ascii="Perpetua" w:hAnsi="Perpetua" w:cs="Arial"/>
          <w:sz w:val="22"/>
          <w:szCs w:val="22"/>
        </w:rPr>
      </w:pPr>
      <w:r>
        <w:rPr>
          <w:rFonts w:ascii="Perpetua" w:hAnsi="Perpetua" w:cs="Arial"/>
          <w:b/>
          <w:sz w:val="22"/>
          <w:szCs w:val="22"/>
        </w:rPr>
        <w:t>Noveno:</w:t>
      </w:r>
      <w:r>
        <w:rPr>
          <w:rFonts w:ascii="Perpetua" w:hAnsi="Perpetua" w:cs="Arial"/>
          <w:sz w:val="22"/>
          <w:szCs w:val="22"/>
        </w:rPr>
        <w:t xml:space="preserve"> Notificar el acuerdo a todas las personas interesadas en el procedimien</w:t>
      </w:r>
      <w:r>
        <w:rPr>
          <w:rFonts w:ascii="Perpetua" w:hAnsi="Perpetua" w:cs="Arial"/>
          <w:sz w:val="22"/>
          <w:szCs w:val="22"/>
        </w:rPr>
        <w:t>to, Policía Local y Oficina de Gestión Tributaria.</w:t>
      </w:r>
    </w:p>
    <w:p w:rsidR="006C645A" w:rsidRDefault="008F51CA" w:rsidP="006C645A">
      <w:pPr>
        <w:pStyle w:val="Normal0"/>
        <w:ind w:firstLine="567"/>
        <w:jc w:val="both"/>
        <w:rPr>
          <w:rFonts w:ascii="Perpetua" w:hAnsi="Perpetua" w:cs="Arial"/>
          <w:sz w:val="22"/>
          <w:szCs w:val="22"/>
        </w:rPr>
      </w:pPr>
    </w:p>
    <w:bookmarkEnd w:id="0"/>
    <w:p w:rsidR="006C645A" w:rsidRDefault="008F51CA" w:rsidP="006C645A">
      <w:pPr>
        <w:pStyle w:val="Normal0"/>
        <w:jc w:val="both"/>
        <w:rPr>
          <w:rFonts w:ascii="Perpetua" w:eastAsia="SimSun" w:hAnsi="Perpetua"/>
          <w:sz w:val="22"/>
          <w:szCs w:val="22"/>
          <w:lang w:eastAsia="zh-CN"/>
        </w:rPr>
      </w:pPr>
    </w:p>
    <w:p w:rsidR="006D7A16" w:rsidRPr="00337EFE" w:rsidRDefault="008F51CA" w:rsidP="009577BF">
      <w:pPr>
        <w:pStyle w:val="Prrafodelista"/>
        <w:spacing w:before="120" w:after="120"/>
        <w:ind w:left="0" w:firstLine="567"/>
        <w:jc w:val="both"/>
        <w:rPr>
          <w:rFonts w:ascii="Perpetua" w:hAnsi="Perpetua"/>
        </w:rPr>
      </w:pPr>
      <w:r w:rsidRPr="00337EFE">
        <w:rPr>
          <w:rFonts w:ascii="Perpetua" w:hAnsi="Perpetua"/>
        </w:rPr>
        <w:t xml:space="preserve">Así lo dijo, firma y manda, </w:t>
      </w:r>
      <w:r w:rsidRPr="00337EFE">
        <w:rPr>
          <w:rFonts w:ascii="Perpetua" w:hAnsi="Perpetua"/>
        </w:rPr>
        <w:t>el</w:t>
      </w:r>
      <w:r w:rsidRPr="00337EFE">
        <w:rPr>
          <w:rFonts w:ascii="Perpetua" w:hAnsi="Perpetua"/>
        </w:rPr>
        <w:t xml:space="preserve"> </w:t>
      </w:r>
      <w:r w:rsidRPr="00337EFE">
        <w:rPr>
          <w:rFonts w:ascii="Perpetua" w:hAnsi="Perpetua"/>
        </w:rPr>
        <w:t>Sr. Alcalde del Excmo. Ayuntamiento de Tarifa, doy fe, el Secretario Gene</w:t>
      </w:r>
      <w:r>
        <w:rPr>
          <w:rFonts w:ascii="Perpetua" w:hAnsi="Perpetua"/>
        </w:rPr>
        <w:t>ral, que certifica, en Tarifa a</w:t>
      </w:r>
      <w:r w:rsidRPr="00337EFE">
        <w:rPr>
          <w:rFonts w:ascii="Perpetua" w:hAnsi="Perpetua"/>
        </w:rPr>
        <w:t xml:space="preserve"> la fecha indicada en la firma electrónica.</w:t>
      </w:r>
    </w:p>
    <w:p w:rsidR="006D7A16" w:rsidRPr="00337EFE" w:rsidRDefault="008F51CA" w:rsidP="00337EFE">
      <w:pPr>
        <w:tabs>
          <w:tab w:val="left" w:pos="5954"/>
        </w:tabs>
        <w:ind w:firstLine="567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CÚMPLASE,</w:t>
      </w:r>
      <w:r>
        <w:rPr>
          <w:rFonts w:ascii="Perpetua" w:hAnsi="Perpetua"/>
          <w:sz w:val="22"/>
          <w:szCs w:val="22"/>
        </w:rPr>
        <w:tab/>
      </w:r>
      <w:r w:rsidRPr="00337EFE">
        <w:rPr>
          <w:rFonts w:ascii="Perpetua" w:hAnsi="Perpetua"/>
          <w:sz w:val="22"/>
          <w:szCs w:val="22"/>
        </w:rPr>
        <w:t xml:space="preserve"> Doy fe,</w:t>
      </w:r>
    </w:p>
    <w:p w:rsidR="006D7A16" w:rsidRDefault="008F51CA" w:rsidP="00337EFE">
      <w:pPr>
        <w:tabs>
          <w:tab w:val="left" w:pos="6096"/>
        </w:tabs>
        <w:ind w:firstLine="708"/>
        <w:rPr>
          <w:rFonts w:ascii="Perpetua" w:hAnsi="Perpetua"/>
          <w:sz w:val="22"/>
          <w:szCs w:val="22"/>
        </w:rPr>
      </w:pPr>
      <w:r w:rsidRPr="00337EFE">
        <w:rPr>
          <w:rFonts w:ascii="Perpetua" w:hAnsi="Perpetua"/>
          <w:sz w:val="22"/>
          <w:szCs w:val="22"/>
        </w:rPr>
        <w:t xml:space="preserve"> El Alcalde</w:t>
      </w:r>
      <w:r>
        <w:rPr>
          <w:rFonts w:ascii="Perpetua" w:hAnsi="Perpetua"/>
          <w:sz w:val="22"/>
          <w:szCs w:val="22"/>
        </w:rPr>
        <w:tab/>
      </w:r>
      <w:r w:rsidRPr="00337EFE">
        <w:rPr>
          <w:rFonts w:ascii="Perpetua" w:hAnsi="Perpetua"/>
          <w:sz w:val="22"/>
          <w:szCs w:val="22"/>
        </w:rPr>
        <w:t>El Secretario General</w:t>
      </w:r>
    </w:p>
    <w:p w:rsidR="008F51CA" w:rsidRPr="00337EFE" w:rsidRDefault="008F51CA" w:rsidP="00337EFE">
      <w:pPr>
        <w:tabs>
          <w:tab w:val="left" w:pos="6096"/>
        </w:tabs>
        <w:ind w:firstLine="708"/>
        <w:rPr>
          <w:rFonts w:ascii="Perpetua" w:hAnsi="Perpetua"/>
          <w:sz w:val="22"/>
          <w:szCs w:val="22"/>
        </w:rPr>
      </w:pPr>
    </w:p>
    <w:sectPr w:rsidR="008F51CA" w:rsidRPr="00337EFE" w:rsidSect="00266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27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F51CA">
      <w:r>
        <w:separator/>
      </w:r>
    </w:p>
  </w:endnote>
  <w:endnote w:type="continuationSeparator" w:id="0">
    <w:p w:rsidR="00000000" w:rsidRDefault="008F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75" w:rsidRDefault="008F51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erpetua" w:hAnsi="Perpetua"/>
      </w:rPr>
      <w:id w:val="-1225370187"/>
      <w:docPartObj>
        <w:docPartGallery w:val="Page Numbers (Bottom of Page)"/>
        <w:docPartUnique/>
      </w:docPartObj>
    </w:sdtPr>
    <w:sdtEndPr/>
    <w:sdtContent>
      <w:sdt>
        <w:sdtPr>
          <w:rPr>
            <w:rFonts w:ascii="Perpetua" w:hAnsi="Perpetua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9557D" w:rsidRPr="00B9557D" w:rsidRDefault="008F51CA">
            <w:pPr>
              <w:pStyle w:val="Piedepgina"/>
              <w:jc w:val="right"/>
              <w:rPr>
                <w:rFonts w:ascii="Perpetua" w:hAnsi="Perpetua"/>
              </w:rPr>
            </w:pPr>
            <w:r w:rsidRPr="00B9557D">
              <w:rPr>
                <w:rFonts w:ascii="Perpetua" w:hAnsi="Perpetua"/>
              </w:rPr>
              <w:t xml:space="preserve">Página </w:t>
            </w:r>
            <w:r w:rsidRPr="00B9557D">
              <w:rPr>
                <w:rFonts w:ascii="Perpetua" w:hAnsi="Perpetua"/>
                <w:b/>
                <w:bCs/>
                <w:sz w:val="24"/>
                <w:szCs w:val="24"/>
              </w:rPr>
              <w:fldChar w:fldCharType="begin"/>
            </w:r>
            <w:r w:rsidRPr="00B9557D">
              <w:rPr>
                <w:rFonts w:ascii="Perpetua" w:hAnsi="Perpetua"/>
                <w:b/>
                <w:bCs/>
              </w:rPr>
              <w:instrText>PAGE</w:instrText>
            </w:r>
            <w:r w:rsidRPr="00B9557D">
              <w:rPr>
                <w:rFonts w:ascii="Perpetua" w:hAnsi="Perpetu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Perpetua" w:hAnsi="Perpetua"/>
                <w:b/>
                <w:bCs/>
                <w:noProof/>
              </w:rPr>
              <w:t>1</w:t>
            </w:r>
            <w:r w:rsidRPr="00B9557D">
              <w:rPr>
                <w:rFonts w:ascii="Perpetua" w:hAnsi="Perpetua"/>
                <w:b/>
                <w:bCs/>
                <w:sz w:val="24"/>
                <w:szCs w:val="24"/>
              </w:rPr>
              <w:fldChar w:fldCharType="end"/>
            </w:r>
            <w:r w:rsidRPr="00B9557D">
              <w:rPr>
                <w:rFonts w:ascii="Perpetua" w:hAnsi="Perpetua"/>
              </w:rPr>
              <w:t xml:space="preserve"> de </w:t>
            </w:r>
            <w:r w:rsidRPr="00B9557D">
              <w:rPr>
                <w:rFonts w:ascii="Perpetua" w:hAnsi="Perpetua"/>
                <w:b/>
                <w:bCs/>
                <w:sz w:val="24"/>
                <w:szCs w:val="24"/>
              </w:rPr>
              <w:fldChar w:fldCharType="begin"/>
            </w:r>
            <w:r w:rsidRPr="00B9557D">
              <w:rPr>
                <w:rFonts w:ascii="Perpetua" w:hAnsi="Perpetua"/>
                <w:b/>
                <w:bCs/>
              </w:rPr>
              <w:instrText>NUMPAGES</w:instrText>
            </w:r>
            <w:r w:rsidRPr="00B9557D">
              <w:rPr>
                <w:rFonts w:ascii="Perpetua" w:hAnsi="Perpetu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Perpetua" w:hAnsi="Perpetua"/>
                <w:b/>
                <w:bCs/>
                <w:noProof/>
              </w:rPr>
              <w:t>2</w:t>
            </w:r>
            <w:r w:rsidRPr="00B9557D">
              <w:rPr>
                <w:rFonts w:ascii="Perpetua" w:hAnsi="Perpetu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0D75" w:rsidRDefault="008F51C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75" w:rsidRDefault="008F51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F51CA">
      <w:r>
        <w:separator/>
      </w:r>
    </w:p>
  </w:footnote>
  <w:footnote w:type="continuationSeparator" w:id="0">
    <w:p w:rsidR="00000000" w:rsidRDefault="008F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75" w:rsidRDefault="008F51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AC8" w:rsidRDefault="008F51CA" w:rsidP="002F4017">
    <w:pPr>
      <w:pStyle w:val="Puesto"/>
      <w:ind w:left="1134"/>
      <w:rPr>
        <w:b w:val="0"/>
        <w:bCs w:val="0"/>
        <w:noProof/>
        <w:sz w:val="32"/>
      </w:rPr>
    </w:pPr>
    <w:r>
      <w:rPr>
        <w:b w:val="0"/>
        <w:bCs w:val="0"/>
        <w:noProof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-305435</wp:posOffset>
          </wp:positionV>
          <wp:extent cx="596265" cy="941705"/>
          <wp:effectExtent l="19050" t="0" r="0" b="0"/>
          <wp:wrapNone/>
          <wp:docPr id="2" name="Imagen 4" descr="Escudo_Tarifa_Nuevo contorn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Tarifa_Nuevo contorno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49B1">
      <w:rPr>
        <w:b w:val="0"/>
        <w:bCs w:val="0"/>
        <w:noProof/>
        <w:sz w:val="32"/>
      </w:rPr>
      <w:t>E</w:t>
    </w:r>
    <w:r>
      <w:rPr>
        <w:b w:val="0"/>
        <w:bCs w:val="0"/>
        <w:noProof/>
        <w:sz w:val="32"/>
      </w:rPr>
      <w:t>xcmo. Ayuntamiento de Tarifa</w:t>
    </w:r>
  </w:p>
  <w:p w:rsidR="00261473" w:rsidRPr="00261473" w:rsidRDefault="008F51CA" w:rsidP="00261473">
    <w:pPr>
      <w:ind w:left="1134"/>
      <w:rPr>
        <w:rFonts w:ascii="Perpetua" w:hAnsi="Perpetua"/>
        <w:sz w:val="24"/>
        <w:szCs w:val="24"/>
      </w:rPr>
    </w:pPr>
  </w:p>
  <w:p w:rsidR="00261473" w:rsidRPr="00261473" w:rsidRDefault="008F51CA" w:rsidP="00261473">
    <w:pPr>
      <w:ind w:left="1134"/>
      <w:rPr>
        <w:rFonts w:ascii="Perpetua" w:hAnsi="Perpetua"/>
        <w:sz w:val="24"/>
        <w:szCs w:val="24"/>
      </w:rPr>
    </w:pPr>
  </w:p>
  <w:p w:rsidR="00261473" w:rsidRPr="00261473" w:rsidRDefault="008F51CA" w:rsidP="002614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75" w:rsidRDefault="008F51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E17E475C"/>
    <w:lvl w:ilvl="0" w:tplc="5FFA7EFC">
      <w:numFmt w:val="bullet"/>
      <w:lvlText w:val="-"/>
      <w:lvlJc w:val="left"/>
      <w:pPr>
        <w:ind w:left="1065" w:hanging="360"/>
      </w:pPr>
      <w:rPr>
        <w:rFonts w:ascii="Perpetua" w:eastAsia="SimSun" w:hAnsi="Perpetua" w:cs="Times New Roman" w:hint="default"/>
      </w:rPr>
    </w:lvl>
    <w:lvl w:ilvl="1" w:tplc="1F28A8DC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8976090C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6B70391E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A19C5EB2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D02AA0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BE74FDE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D8ACB66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AF9475D4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scriptor" w:val="3EF8B9310A1E4E23BEBA1371F51F17D8"/>
    <w:docVar w:name="Expediente" w:val="C8F1F7E7F13644C0BB0010D1F07415F1"/>
    <w:docVar w:name="NUMINTDECRETO" w:val="AD3B034D6232491CA5E474F86C679819"/>
    <w:docVar w:name="Origen" w:val="Plantillas propias de Procedimiento - Devolución de Garantías (Devolución de Garantías)"/>
    <w:docVar w:name="Procedimiento" w:val="C9FC75CA7DB846B884E0F2BACF3EB360"/>
    <w:docVar w:name="TipoDocumento" w:val="TIP_DOC"/>
    <w:docVar w:name="TipoExpediente" w:val="G"/>
    <w:docVar w:name="Tramite" w:val="415263E04C574BF7A347BF9D129CB47A"/>
  </w:docVars>
  <w:rsids>
    <w:rsidRoot w:val="00E1037C"/>
    <w:rsid w:val="008F51CA"/>
    <w:rsid w:val="00E1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DFDF5E-85AD-4D83-97A6-C64C8C43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1F7"/>
    <w:rPr>
      <w:lang w:val="es-ES" w:eastAsia="es-ES"/>
    </w:rPr>
  </w:style>
  <w:style w:type="paragraph" w:styleId="Ttulo1">
    <w:name w:val="heading 1"/>
    <w:basedOn w:val="Normal"/>
    <w:next w:val="Normal"/>
    <w:qFormat/>
    <w:rsid w:val="008F21F7"/>
    <w:pPr>
      <w:keepNext/>
      <w:ind w:left="-851"/>
      <w:jc w:val="center"/>
      <w:outlineLvl w:val="0"/>
    </w:pPr>
    <w:rPr>
      <w:sz w:val="28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363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semiHidden/>
    <w:rsid w:val="007363EA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7363EA"/>
    <w:pPr>
      <w:outlineLvl w:val="0"/>
    </w:pPr>
    <w:rPr>
      <w:rFonts w:ascii="Perpetua" w:hAnsi="Perpetua"/>
      <w:b/>
      <w:bCs/>
      <w:kern w:val="28"/>
      <w:sz w:val="28"/>
      <w:szCs w:val="32"/>
    </w:rPr>
  </w:style>
  <w:style w:type="character" w:customStyle="1" w:styleId="PuestoCar">
    <w:name w:val="Puesto Car"/>
    <w:link w:val="Puesto"/>
    <w:rsid w:val="007363EA"/>
    <w:rPr>
      <w:rFonts w:ascii="Perpetua" w:hAnsi="Perpetua"/>
      <w:b/>
      <w:bCs/>
      <w:kern w:val="28"/>
      <w:sz w:val="28"/>
      <w:szCs w:val="32"/>
      <w:lang w:val="es-ES" w:eastAsia="es-ES"/>
    </w:rPr>
  </w:style>
  <w:style w:type="table" w:styleId="Tablaconcuadrcula">
    <w:name w:val="Table Grid"/>
    <w:basedOn w:val="Tablanormal"/>
    <w:rsid w:val="00B319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2F40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F4017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F40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F4017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485A30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customStyle="1" w:styleId="Normal0">
    <w:name w:val="Normal_0"/>
    <w:qFormat/>
    <w:rsid w:val="008F21F7"/>
    <w:rPr>
      <w:lang w:val="es-ES" w:eastAsia="es-ES"/>
    </w:rPr>
  </w:style>
  <w:style w:type="table" w:customStyle="1" w:styleId="Tablaconcuadrcula10">
    <w:name w:val="Tabla con cuadrícula1_0"/>
    <w:basedOn w:val="Tablanormal"/>
    <w:uiPriority w:val="39"/>
    <w:rsid w:val="006C645A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9E21-174B-454D-AC76-2355F381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771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Absis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Virutal</dc:creator>
  <cp:lastModifiedBy>Ana Cozar Murillo</cp:lastModifiedBy>
  <cp:revision>24</cp:revision>
  <cp:lastPrinted>1900-12-31T23:00:00Z</cp:lastPrinted>
  <dcterms:created xsi:type="dcterms:W3CDTF">2014-08-28T08:15:00Z</dcterms:created>
  <dcterms:modified xsi:type="dcterms:W3CDTF">2018-10-19T10:26:00Z</dcterms:modified>
</cp:coreProperties>
</file>